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0CDB" w14:textId="77777777" w:rsidR="0091074E" w:rsidRDefault="0091074E" w:rsidP="0091074E">
      <w:pPr>
        <w:jc w:val="both"/>
        <w:rPr>
          <w:rFonts w:ascii="Calibri" w:hAnsi="Calibri"/>
        </w:rPr>
      </w:pPr>
      <w:r>
        <w:rPr>
          <w:rFonts w:ascii="Calibri" w:hAnsi="Calibri"/>
          <w:noProof/>
          <w:lang w:eastAsia="en-IE"/>
        </w:rPr>
        <w:drawing>
          <wp:inline distT="0" distB="0" distL="0" distR="0" wp14:anchorId="24999CF6" wp14:editId="34274A2E">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132B18C9" w14:textId="77777777"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14:paraId="776287B8" w14:textId="77777777" w:rsidR="0091074E" w:rsidRPr="006A39C9" w:rsidRDefault="0091074E" w:rsidP="00314CD6">
      <w:pPr>
        <w:pStyle w:val="Heading1"/>
        <w:spacing w:before="120" w:line="240" w:lineRule="auto"/>
        <w:jc w:val="center"/>
        <w:rPr>
          <w:rFonts w:ascii="Cambria" w:hAnsi="Cambria"/>
        </w:rPr>
      </w:pPr>
      <w:r>
        <w:rPr>
          <w:rFonts w:ascii="Cambria" w:hAnsi="Cambria"/>
        </w:rPr>
        <w:t>Review Identification Form</w:t>
      </w:r>
    </w:p>
    <w:p w14:paraId="19FDA099" w14:textId="77777777" w:rsidR="00475842" w:rsidRDefault="00475842" w:rsidP="00333F6E">
      <w:pPr>
        <w:spacing w:after="0" w:line="312" w:lineRule="auto"/>
        <w:contextualSpacing/>
      </w:pPr>
    </w:p>
    <w:p w14:paraId="3206BFB6" w14:textId="77777777" w:rsidR="0091074E" w:rsidRDefault="0091074E" w:rsidP="00333F6E">
      <w:pPr>
        <w:spacing w:after="0" w:line="312" w:lineRule="auto"/>
        <w:contextualSpacing/>
      </w:pPr>
      <w:r>
        <w:t>In order to help us advertise your review and select an appropriate fellow, please complete the following:</w:t>
      </w:r>
    </w:p>
    <w:p w14:paraId="47F57073" w14:textId="71C0B4D8" w:rsidR="0091074E" w:rsidRDefault="0091074E" w:rsidP="00333F6E">
      <w:pPr>
        <w:spacing w:after="0" w:line="312" w:lineRule="auto"/>
        <w:contextualSpacing/>
        <w:rPr>
          <w:b/>
        </w:rPr>
      </w:pPr>
      <w:r w:rsidRPr="0091074E">
        <w:rPr>
          <w:b/>
        </w:rPr>
        <w:t>Review Centre</w:t>
      </w:r>
      <w:r w:rsidR="00366F2A">
        <w:rPr>
          <w:b/>
        </w:rPr>
        <w:t>/Group</w:t>
      </w:r>
      <w:r w:rsidRPr="0091074E">
        <w:rPr>
          <w:b/>
        </w:rPr>
        <w:t xml:space="preserve"> Mentor (RCM)</w:t>
      </w:r>
      <w:r w:rsidR="00F36D68">
        <w:rPr>
          <w:b/>
        </w:rPr>
        <w:t xml:space="preserve"> and email address</w:t>
      </w:r>
      <w:r>
        <w:rPr>
          <w:b/>
        </w:rPr>
        <w:t xml:space="preserve"> </w:t>
      </w:r>
      <w:r w:rsidRPr="0091074E">
        <w:rPr>
          <w:i/>
          <w:sz w:val="18"/>
          <w:szCs w:val="18"/>
        </w:rPr>
        <w:t>– please identify who will act as lead contact and mentor for the fellow</w:t>
      </w:r>
      <w:r w:rsidR="00F36D68">
        <w:rPr>
          <w:i/>
          <w:sz w:val="18"/>
          <w:szCs w:val="18"/>
        </w:rPr>
        <w:t xml:space="preserve"> and provide email contact address</w:t>
      </w:r>
    </w:p>
    <w:tbl>
      <w:tblPr>
        <w:tblStyle w:val="TableGrid"/>
        <w:tblW w:w="0" w:type="auto"/>
        <w:tblLook w:val="04A0" w:firstRow="1" w:lastRow="0" w:firstColumn="1" w:lastColumn="0" w:noHBand="0" w:noVBand="1"/>
      </w:tblPr>
      <w:tblGrid>
        <w:gridCol w:w="9016"/>
      </w:tblGrid>
      <w:tr w:rsidR="0091074E" w14:paraId="2F22153F" w14:textId="77777777" w:rsidTr="0091074E">
        <w:tc>
          <w:tcPr>
            <w:tcW w:w="9242" w:type="dxa"/>
          </w:tcPr>
          <w:p w14:paraId="2DE7C29F" w14:textId="3932DD54" w:rsidR="0091074E" w:rsidRPr="00462884" w:rsidRDefault="00862FB2" w:rsidP="00862FB2">
            <w:pPr>
              <w:spacing w:line="312" w:lineRule="auto"/>
              <w:contextualSpacing/>
            </w:pPr>
            <w:r>
              <w:t>Valerie Smith;</w:t>
            </w:r>
            <w:bookmarkStart w:id="0" w:name="_GoBack"/>
            <w:bookmarkEnd w:id="0"/>
          </w:p>
        </w:tc>
      </w:tr>
    </w:tbl>
    <w:p w14:paraId="4995D04D" w14:textId="77777777" w:rsidR="0091074E" w:rsidRDefault="0091074E" w:rsidP="00333F6E">
      <w:pPr>
        <w:spacing w:after="0" w:line="312" w:lineRule="auto"/>
        <w:contextualSpacing/>
        <w:rPr>
          <w:b/>
        </w:rPr>
      </w:pPr>
    </w:p>
    <w:p w14:paraId="1364FF94" w14:textId="77777777" w:rsidR="0091074E" w:rsidRDefault="0091074E" w:rsidP="00333F6E">
      <w:pPr>
        <w:spacing w:after="0" w:line="312"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016"/>
      </w:tblGrid>
      <w:tr w:rsidR="0091074E" w14:paraId="4FDDAE7F" w14:textId="77777777" w:rsidTr="0091074E">
        <w:tc>
          <w:tcPr>
            <w:tcW w:w="9242" w:type="dxa"/>
          </w:tcPr>
          <w:p w14:paraId="31777C06" w14:textId="17886878" w:rsidR="0091074E" w:rsidRPr="00462884" w:rsidRDefault="00A8013C" w:rsidP="00333F6E">
            <w:pPr>
              <w:spacing w:line="312" w:lineRule="auto"/>
              <w:contextualSpacing/>
            </w:pPr>
            <w:r w:rsidRPr="00462884">
              <w:rPr>
                <w:rStyle w:val="current-selection"/>
                <w:rFonts w:ascii="Calibri" w:eastAsia="Times New Roman" w:hAnsi="Calibri" w:cs="Calibri"/>
                <w:iCs/>
                <w:shd w:val="clear" w:color="auto" w:fill="FFFFFF"/>
              </w:rPr>
              <w:t>Physiological track-and-trigger/early warning systems for us</w:t>
            </w:r>
            <w:r w:rsidRPr="00462884">
              <w:rPr>
                <w:rFonts w:ascii="Calibri" w:eastAsia="Times New Roman" w:hAnsi="Calibri" w:cs="Calibri"/>
                <w:iCs/>
              </w:rPr>
              <w:t>e in maternity care</w:t>
            </w:r>
          </w:p>
        </w:tc>
      </w:tr>
    </w:tbl>
    <w:p w14:paraId="067C2072" w14:textId="77777777" w:rsidR="0091074E" w:rsidRDefault="0091074E" w:rsidP="00333F6E">
      <w:pPr>
        <w:spacing w:after="0" w:line="312" w:lineRule="auto"/>
        <w:contextualSpacing/>
        <w:rPr>
          <w:b/>
        </w:rPr>
      </w:pPr>
    </w:p>
    <w:p w14:paraId="62F574E0" w14:textId="35D5BAF9" w:rsidR="0091074E" w:rsidRDefault="0091074E" w:rsidP="00333F6E">
      <w:pPr>
        <w:spacing w:after="0" w:line="312"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016"/>
      </w:tblGrid>
      <w:tr w:rsidR="0091074E" w14:paraId="59126A65" w14:textId="77777777" w:rsidTr="0091074E">
        <w:tc>
          <w:tcPr>
            <w:tcW w:w="9242" w:type="dxa"/>
          </w:tcPr>
          <w:p w14:paraId="7D91AFCE" w14:textId="4A27BE2D" w:rsidR="00475842" w:rsidRPr="00462884" w:rsidRDefault="00A8013C" w:rsidP="00333F6E">
            <w:pPr>
              <w:spacing w:line="312" w:lineRule="auto"/>
              <w:contextualSpacing/>
            </w:pPr>
            <w:r w:rsidRPr="00462884">
              <w:t xml:space="preserve">Cochrane review of effectiveness </w:t>
            </w:r>
          </w:p>
        </w:tc>
      </w:tr>
    </w:tbl>
    <w:p w14:paraId="32888892" w14:textId="77777777" w:rsidR="0091074E" w:rsidRDefault="0091074E" w:rsidP="00333F6E">
      <w:pPr>
        <w:spacing w:after="0" w:line="312" w:lineRule="auto"/>
        <w:contextualSpacing/>
        <w:rPr>
          <w:b/>
        </w:rPr>
      </w:pPr>
    </w:p>
    <w:p w14:paraId="3AEC27C0" w14:textId="69C7C9D1" w:rsidR="0091074E" w:rsidRPr="0091074E" w:rsidRDefault="0091074E" w:rsidP="00333F6E">
      <w:pPr>
        <w:spacing w:after="0" w:line="312" w:lineRule="auto"/>
        <w:contextualSpacing/>
        <w:rPr>
          <w:i/>
          <w:sz w:val="18"/>
          <w:szCs w:val="18"/>
        </w:rPr>
      </w:pPr>
      <w:r w:rsidRPr="0091074E">
        <w:rPr>
          <w:b/>
        </w:rPr>
        <w:t>Review details</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r w:rsidR="00333F6E">
        <w:rPr>
          <w:i/>
          <w:sz w:val="18"/>
          <w:szCs w:val="18"/>
        </w:rPr>
        <w:t>Please also include c</w:t>
      </w:r>
      <w:r w:rsidR="00333F6E"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016"/>
      </w:tblGrid>
      <w:tr w:rsidR="0091074E" w14:paraId="509BFE60" w14:textId="77777777" w:rsidTr="0091074E">
        <w:tc>
          <w:tcPr>
            <w:tcW w:w="9242" w:type="dxa"/>
          </w:tcPr>
          <w:p w14:paraId="537B7589" w14:textId="66FB8EC3" w:rsidR="00A8013C" w:rsidRPr="00462884" w:rsidRDefault="00A8013C" w:rsidP="00462884">
            <w:pPr>
              <w:spacing w:line="276" w:lineRule="auto"/>
              <w:rPr>
                <w:rFonts w:cstheme="minorHAnsi"/>
                <w:b/>
              </w:rPr>
            </w:pPr>
            <w:r w:rsidRPr="00462884">
              <w:rPr>
                <w:rFonts w:cstheme="minorHAnsi"/>
                <w:b/>
              </w:rPr>
              <w:t xml:space="preserve">Background: </w:t>
            </w:r>
            <w:r w:rsidRPr="00462884">
              <w:rPr>
                <w:rFonts w:cstheme="minorHAnsi"/>
                <w:shd w:val="clear" w:color="auto" w:fill="FFFFFF"/>
              </w:rPr>
              <w:t>Professional bodies and international reports (</w:t>
            </w:r>
            <w:hyperlink r:id="rId6" w:anchor="CD013276-bbs2-0008" w:history="1">
              <w:r w:rsidRPr="00462884">
                <w:rPr>
                  <w:rStyle w:val="Hyperlink"/>
                  <w:rFonts w:cstheme="minorHAnsi"/>
                  <w:color w:val="auto"/>
                  <w:u w:val="none"/>
                  <w:shd w:val="clear" w:color="auto" w:fill="FFFFFF"/>
                </w:rPr>
                <w:t>CMACE 2011</w:t>
              </w:r>
            </w:hyperlink>
            <w:r w:rsidRPr="00462884">
              <w:rPr>
                <w:rFonts w:cstheme="minorHAnsi"/>
                <w:shd w:val="clear" w:color="auto" w:fill="FFFFFF"/>
              </w:rPr>
              <w:t>;</w:t>
            </w:r>
            <w:r w:rsidRPr="00462884">
              <w:rPr>
                <w:rFonts w:cstheme="minorHAnsi"/>
              </w:rPr>
              <w:t xml:space="preserve"> </w:t>
            </w:r>
            <w:hyperlink r:id="rId7" w:anchor="CD013276-bbs2-0001" w:history="1">
              <w:r w:rsidRPr="00462884">
                <w:rPr>
                  <w:rStyle w:val="Hyperlink"/>
                  <w:rFonts w:cstheme="minorHAnsi"/>
                  <w:color w:val="auto"/>
                  <w:u w:val="none"/>
                  <w:shd w:val="clear" w:color="auto" w:fill="FFFFFF"/>
                </w:rPr>
                <w:t>ACOG 2011</w:t>
              </w:r>
            </w:hyperlink>
            <w:r w:rsidRPr="00462884">
              <w:rPr>
                <w:rFonts w:cstheme="minorHAnsi"/>
                <w:shd w:val="clear" w:color="auto" w:fill="FFFFFF"/>
              </w:rPr>
              <w:t>; </w:t>
            </w:r>
            <w:hyperlink r:id="rId8" w:anchor="CD013276-bbs2-0027" w:history="1">
              <w:r w:rsidRPr="00462884">
                <w:rPr>
                  <w:rStyle w:val="Hyperlink"/>
                  <w:rFonts w:cstheme="minorHAnsi"/>
                  <w:color w:val="auto"/>
                  <w:u w:val="none"/>
                  <w:shd w:val="clear" w:color="auto" w:fill="FFFFFF"/>
                </w:rPr>
                <w:t>RCOG 2012</w:t>
              </w:r>
            </w:hyperlink>
            <w:r w:rsidRPr="00462884">
              <w:rPr>
                <w:rFonts w:cstheme="minorHAnsi"/>
              </w:rPr>
              <w:t>; HSE 2017</w:t>
            </w:r>
            <w:r w:rsidRPr="00462884">
              <w:rPr>
                <w:rFonts w:cstheme="minorHAnsi"/>
                <w:shd w:val="clear" w:color="auto" w:fill="FFFFFF"/>
              </w:rPr>
              <w:t xml:space="preserve">) are recommending the use of clinical assessment protocols or evaluation tools, commonly referred to as physiological track‐and‐trigger systems (TTS) or early warning systems (EWS), as a means of assisting maternity care providers with physiological assessment. The concept is that a compromised pregnant or postpartum woman can be identified early in the course of possible deterioration based on routine observation and assessment of the physiological parameters indicative of well‐being (respiration rate, blood pressure, heart rate, etc.). Early recognition enables early intervention with the ultimate intention that maternal and infant adverse outcomes are reduced or avoided. </w:t>
            </w:r>
            <w:r w:rsidRPr="00462884">
              <w:rPr>
                <w:rFonts w:cstheme="minorHAnsi"/>
                <w:color w:val="000000"/>
                <w:shd w:val="clear" w:color="auto" w:fill="FFFFFF"/>
              </w:rPr>
              <w:t>While there is some evidence to suggest that physiological TTS/EWS may be useful in predicting morbidity (</w:t>
            </w:r>
            <w:hyperlink r:id="rId9" w:anchor="CD013276-bbs2-0006" w:history="1">
              <w:r w:rsidRPr="00462884">
                <w:rPr>
                  <w:rStyle w:val="Hyperlink"/>
                  <w:rFonts w:cstheme="minorHAnsi"/>
                  <w:color w:val="auto"/>
                  <w:u w:val="none"/>
                  <w:shd w:val="clear" w:color="auto" w:fill="FFFFFF"/>
                </w:rPr>
                <w:t>Carle 2013</w:t>
              </w:r>
            </w:hyperlink>
            <w:r w:rsidRPr="00462884">
              <w:rPr>
                <w:rFonts w:cstheme="minorHAnsi"/>
                <w:shd w:val="clear" w:color="auto" w:fill="FFFFFF"/>
              </w:rPr>
              <w:t>; </w:t>
            </w:r>
            <w:hyperlink r:id="rId10" w:anchor="CD013276-bbs2-0022" w:history="1">
              <w:r w:rsidRPr="00462884">
                <w:rPr>
                  <w:rStyle w:val="Hyperlink"/>
                  <w:rFonts w:cstheme="minorHAnsi"/>
                  <w:color w:val="auto"/>
                  <w:u w:val="none"/>
                  <w:shd w:val="clear" w:color="auto" w:fill="FFFFFF"/>
                </w:rPr>
                <w:t>Maguire 2015</w:t>
              </w:r>
            </w:hyperlink>
            <w:r w:rsidRPr="00462884">
              <w:rPr>
                <w:rFonts w:cstheme="minorHAnsi"/>
                <w:shd w:val="clear" w:color="auto" w:fill="FFFFFF"/>
              </w:rPr>
              <w:t>)</w:t>
            </w:r>
            <w:r w:rsidRPr="00462884">
              <w:rPr>
                <w:rFonts w:cstheme="minorHAnsi"/>
                <w:color w:val="000000"/>
                <w:shd w:val="clear" w:color="auto" w:fill="FFFFFF"/>
              </w:rPr>
              <w:t>, concerns have also been expressed about the lack of validated systems for use in maternity populations (</w:t>
            </w:r>
            <w:hyperlink r:id="rId11" w:anchor="CD013276-bbs2-0021" w:history="1">
              <w:r w:rsidRPr="00462884">
                <w:rPr>
                  <w:rStyle w:val="Hyperlink"/>
                  <w:rFonts w:cstheme="minorHAnsi"/>
                  <w:color w:val="auto"/>
                  <w:u w:val="none"/>
                  <w:shd w:val="clear" w:color="auto" w:fill="FFFFFF"/>
                </w:rPr>
                <w:t>Mackintosh 2014</w:t>
              </w:r>
            </w:hyperlink>
            <w:r w:rsidRPr="00462884">
              <w:rPr>
                <w:rFonts w:cstheme="minorHAnsi"/>
                <w:shd w:val="clear" w:color="auto" w:fill="FFFFFF"/>
              </w:rPr>
              <w:t xml:space="preserve">). </w:t>
            </w:r>
            <w:r w:rsidRPr="00462884">
              <w:rPr>
                <w:rFonts w:cstheme="minorHAnsi"/>
                <w:color w:val="000000"/>
                <w:shd w:val="clear" w:color="auto" w:fill="FFFFFF"/>
              </w:rPr>
              <w:t>This raises questions as to the clinical effectiveness of such systems, in particular, for reducing maternal and neonatal morbidity and mortality in maternity populations. For this reason, a synthesis of evidence of the clinical effectiveness of TTS/EWS is required.</w:t>
            </w:r>
          </w:p>
          <w:p w14:paraId="10BDBB02" w14:textId="26810600" w:rsidR="00475842" w:rsidRPr="00462884" w:rsidRDefault="00A8013C" w:rsidP="00462884">
            <w:pPr>
              <w:spacing w:line="276" w:lineRule="auto"/>
              <w:rPr>
                <w:rFonts w:cstheme="minorHAnsi"/>
                <w:color w:val="000000"/>
                <w:shd w:val="clear" w:color="auto" w:fill="FFFFFF"/>
              </w:rPr>
            </w:pPr>
            <w:r w:rsidRPr="00462884">
              <w:rPr>
                <w:rFonts w:cstheme="minorHAnsi"/>
                <w:b/>
              </w:rPr>
              <w:lastRenderedPageBreak/>
              <w:t xml:space="preserve">Aim: </w:t>
            </w:r>
            <w:r w:rsidRPr="00462884">
              <w:rPr>
                <w:rFonts w:cstheme="minorHAnsi"/>
                <w:color w:val="000000"/>
                <w:shd w:val="clear" w:color="auto" w:fill="FFFFFF"/>
              </w:rPr>
              <w:t>To evaluate the clinical and cost effectiveness of maternal physiological track‐and‐trigger systems/early warning systems on pregnancy, labour and birth, postpartum (up to 42 days) and neonatal outcomes.</w:t>
            </w:r>
          </w:p>
          <w:p w14:paraId="7D08D289" w14:textId="7771AED1" w:rsidR="00A8013C" w:rsidRPr="00462884" w:rsidRDefault="00A8013C" w:rsidP="00462884">
            <w:pPr>
              <w:spacing w:line="276" w:lineRule="auto"/>
              <w:rPr>
                <w:rFonts w:cstheme="minorHAnsi"/>
                <w:color w:val="000000"/>
              </w:rPr>
            </w:pPr>
            <w:r w:rsidRPr="00462884">
              <w:rPr>
                <w:rFonts w:cstheme="minorHAnsi"/>
                <w:b/>
                <w:color w:val="000000"/>
                <w:shd w:val="clear" w:color="auto" w:fill="FFFFFF"/>
              </w:rPr>
              <w:t>Participants:</w:t>
            </w:r>
            <w:r w:rsidRPr="00462884">
              <w:rPr>
                <w:rFonts w:cstheme="minorHAnsi"/>
                <w:color w:val="000000"/>
                <w:shd w:val="clear" w:color="auto" w:fill="FFFFFF"/>
              </w:rPr>
              <w:t xml:space="preserve"> </w:t>
            </w:r>
            <w:r w:rsidRPr="00462884">
              <w:rPr>
                <w:rFonts w:cstheme="minorHAnsi"/>
                <w:color w:val="000000"/>
              </w:rPr>
              <w:t>Women who are pregnant or who have given birth at any gestation within the previous 42 days</w:t>
            </w:r>
            <w:r w:rsidR="00462884" w:rsidRPr="00462884">
              <w:rPr>
                <w:rFonts w:cstheme="minorHAnsi"/>
                <w:color w:val="000000"/>
              </w:rPr>
              <w:t xml:space="preserve"> (high and low risk populations).</w:t>
            </w:r>
          </w:p>
          <w:p w14:paraId="299320E8" w14:textId="0C6221A7" w:rsidR="00462884" w:rsidRPr="00462884" w:rsidRDefault="00462884" w:rsidP="00462884">
            <w:pPr>
              <w:spacing w:line="276" w:lineRule="auto"/>
              <w:rPr>
                <w:rFonts w:cstheme="minorHAnsi"/>
                <w:color w:val="000000"/>
              </w:rPr>
            </w:pPr>
            <w:r w:rsidRPr="00462884">
              <w:rPr>
                <w:rFonts w:cstheme="minorHAnsi"/>
                <w:b/>
                <w:color w:val="000000"/>
              </w:rPr>
              <w:t>Intervention:</w:t>
            </w:r>
            <w:r w:rsidRPr="00462884">
              <w:rPr>
                <w:rFonts w:cstheme="minorHAnsi"/>
                <w:color w:val="000000"/>
              </w:rPr>
              <w:t xml:space="preserve"> Physiological TTS/EWS, which rely on periodic observation of selected basic physiological clinical parameters with predetermined calling or response criteria for escalating care to facilitate prompt recognition of clinical deterioration.</w:t>
            </w:r>
          </w:p>
          <w:p w14:paraId="23127659" w14:textId="77777777" w:rsidR="00462884" w:rsidRPr="00462884" w:rsidRDefault="00462884" w:rsidP="00462884">
            <w:pPr>
              <w:spacing w:line="276" w:lineRule="auto"/>
              <w:rPr>
                <w:rFonts w:cstheme="minorHAnsi"/>
                <w:color w:val="000000"/>
              </w:rPr>
            </w:pPr>
            <w:r w:rsidRPr="00462884">
              <w:rPr>
                <w:rFonts w:cstheme="minorHAnsi"/>
                <w:b/>
                <w:color w:val="000000"/>
              </w:rPr>
              <w:t>Comparator:</w:t>
            </w:r>
            <w:r w:rsidRPr="00462884">
              <w:rPr>
                <w:rFonts w:cstheme="minorHAnsi"/>
                <w:color w:val="000000"/>
              </w:rPr>
              <w:t xml:space="preserve"> Non‐use of a system or use of an alternative TTS/EWS.</w:t>
            </w:r>
          </w:p>
          <w:p w14:paraId="520C09EA" w14:textId="5AEAA31A" w:rsidR="00A8013C" w:rsidRPr="00462884" w:rsidRDefault="00462884" w:rsidP="00462884">
            <w:pPr>
              <w:spacing w:line="276" w:lineRule="auto"/>
              <w:rPr>
                <w:rFonts w:cstheme="minorHAnsi"/>
                <w:color w:val="000000"/>
              </w:rPr>
            </w:pPr>
            <w:r w:rsidRPr="00462884">
              <w:rPr>
                <w:rFonts w:cstheme="minorHAnsi"/>
                <w:b/>
                <w:color w:val="000000"/>
              </w:rPr>
              <w:t>Outcomes</w:t>
            </w:r>
            <w:r w:rsidRPr="00462884">
              <w:rPr>
                <w:rFonts w:cstheme="minorHAnsi"/>
                <w:color w:val="000000"/>
              </w:rPr>
              <w:t xml:space="preserve">: </w:t>
            </w:r>
            <w:r>
              <w:rPr>
                <w:rFonts w:cstheme="minorHAnsi"/>
                <w:color w:val="000000"/>
              </w:rPr>
              <w:t>T</w:t>
            </w:r>
            <w:r w:rsidRPr="00462884">
              <w:rPr>
                <w:rFonts w:cstheme="minorHAnsi"/>
                <w:color w:val="000000"/>
              </w:rPr>
              <w:t>he primary outcome is m</w:t>
            </w:r>
            <w:r w:rsidR="00A8013C" w:rsidRPr="00462884">
              <w:rPr>
                <w:rFonts w:cstheme="minorHAnsi"/>
                <w:color w:val="000000"/>
              </w:rPr>
              <w:t>aternal death</w:t>
            </w:r>
            <w:r>
              <w:rPr>
                <w:rFonts w:cstheme="minorHAnsi"/>
                <w:color w:val="000000"/>
              </w:rPr>
              <w:t xml:space="preserve">. Secondary outcomes include; maternal critical illness (e.g. sepsis, maternal collapse, etc.), Admission to ICU, length of hospital stay, perinatal death, admission of baby to NICU, and cost effectiveness measures. </w:t>
            </w:r>
          </w:p>
          <w:p w14:paraId="19DD0F2D" w14:textId="583C735F" w:rsidR="00333F6E" w:rsidRPr="00462884" w:rsidRDefault="00462884" w:rsidP="00462884">
            <w:pPr>
              <w:spacing w:line="276" w:lineRule="auto"/>
              <w:rPr>
                <w:rFonts w:cstheme="minorHAnsi"/>
                <w:color w:val="000000"/>
              </w:rPr>
            </w:pPr>
            <w:r w:rsidRPr="00462884">
              <w:rPr>
                <w:rFonts w:cstheme="minorHAnsi"/>
                <w:b/>
                <w:color w:val="000000"/>
              </w:rPr>
              <w:t>Types of studies:</w:t>
            </w:r>
            <w:r w:rsidRPr="00462884">
              <w:rPr>
                <w:rFonts w:cstheme="minorHAnsi"/>
                <w:color w:val="000000"/>
              </w:rPr>
              <w:t xml:space="preserve"> Randomised and quasi‐randomised controlled trials (RCTs), including cluster‐RCTs. </w:t>
            </w:r>
            <w:r w:rsidRPr="00462884">
              <w:t xml:space="preserve"> </w:t>
            </w:r>
          </w:p>
        </w:tc>
      </w:tr>
    </w:tbl>
    <w:p w14:paraId="0B7A783A" w14:textId="77777777" w:rsidR="0091074E" w:rsidRDefault="0091074E" w:rsidP="00333F6E">
      <w:pPr>
        <w:spacing w:after="0" w:line="312" w:lineRule="auto"/>
        <w:contextualSpacing/>
        <w:rPr>
          <w:b/>
        </w:rPr>
      </w:pPr>
    </w:p>
    <w:p w14:paraId="159BD685" w14:textId="6ACC0816" w:rsidR="00333F6E" w:rsidRDefault="00333F6E" w:rsidP="00333F6E">
      <w:pPr>
        <w:spacing w:after="0" w:line="312" w:lineRule="auto"/>
        <w:contextualSpacing/>
        <w:rPr>
          <w:i/>
          <w:sz w:val="18"/>
          <w:szCs w:val="18"/>
        </w:rPr>
      </w:pPr>
      <w:r w:rsidRPr="0091074E">
        <w:rPr>
          <w:b/>
        </w:rPr>
        <w:t xml:space="preserve">Review </w:t>
      </w:r>
      <w:r>
        <w:rPr>
          <w:b/>
        </w:rPr>
        <w:t xml:space="preserve">current status </w:t>
      </w:r>
      <w:r w:rsidRPr="0091074E">
        <w:rPr>
          <w:i/>
          <w:sz w:val="18"/>
          <w:szCs w:val="18"/>
        </w:rPr>
        <w:t>–</w:t>
      </w:r>
      <w:r>
        <w:rPr>
          <w:i/>
          <w:sz w:val="18"/>
          <w:szCs w:val="18"/>
        </w:rPr>
        <w:t xml:space="preserve"> please indicate c</w:t>
      </w:r>
      <w:r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016"/>
      </w:tblGrid>
      <w:tr w:rsidR="00333F6E" w14:paraId="1887B5A8" w14:textId="77777777" w:rsidTr="00333F6E">
        <w:tc>
          <w:tcPr>
            <w:tcW w:w="9242" w:type="dxa"/>
          </w:tcPr>
          <w:p w14:paraId="46897794" w14:textId="77777777" w:rsidR="00462884" w:rsidRDefault="00462884" w:rsidP="00462884">
            <w:pPr>
              <w:spacing w:line="312" w:lineRule="auto"/>
              <w:contextualSpacing/>
            </w:pPr>
            <w:r w:rsidRPr="00462884">
              <w:t xml:space="preserve">The protocol for the review is complete and published in the Cochrane Library a </w:t>
            </w:r>
            <w:hyperlink r:id="rId12" w:history="1">
              <w:r>
                <w:rPr>
                  <w:rStyle w:val="Hyperlink"/>
                </w:rPr>
                <w:t>https://www.cochranelibrary.com/cdsr/doi/10.1002/14651858.CD013276/full</w:t>
              </w:r>
            </w:hyperlink>
          </w:p>
          <w:p w14:paraId="24E5A215" w14:textId="6ED4EBD1" w:rsidR="00462884" w:rsidRPr="00462884" w:rsidRDefault="00462884" w:rsidP="00113EC6">
            <w:pPr>
              <w:spacing w:line="312" w:lineRule="auto"/>
              <w:contextualSpacing/>
              <w:rPr>
                <w:b/>
              </w:rPr>
            </w:pPr>
            <w:r w:rsidRPr="00462884">
              <w:rPr>
                <w:b/>
                <w:u w:val="single"/>
              </w:rPr>
              <w:t>All</w:t>
            </w:r>
            <w:r>
              <w:t xml:space="preserve"> aspects of the Full Review</w:t>
            </w:r>
            <w:r w:rsidR="00113EC6">
              <w:t>, from searches onwards,</w:t>
            </w:r>
            <w:r>
              <w:t xml:space="preserve"> have yet to commence. </w:t>
            </w:r>
          </w:p>
        </w:tc>
      </w:tr>
    </w:tbl>
    <w:p w14:paraId="305F2044" w14:textId="77777777" w:rsidR="00333F6E" w:rsidRDefault="00333F6E" w:rsidP="00333F6E">
      <w:pPr>
        <w:spacing w:after="0" w:line="312" w:lineRule="auto"/>
        <w:contextualSpacing/>
        <w:rPr>
          <w:b/>
        </w:rPr>
      </w:pPr>
    </w:p>
    <w:p w14:paraId="74630A41" w14:textId="77777777" w:rsidR="0091074E" w:rsidRPr="0091074E" w:rsidRDefault="0091074E" w:rsidP="00333F6E">
      <w:pPr>
        <w:spacing w:after="0" w:line="312" w:lineRule="auto"/>
        <w:contextualSpacing/>
        <w:rPr>
          <w:b/>
        </w:rPr>
      </w:pPr>
      <w:r w:rsidRPr="0091074E">
        <w:rPr>
          <w:b/>
        </w:rPr>
        <w:t>Any specific/desirable requirements for fellow (e.g. clinical expertise</w:t>
      </w:r>
      <w:r w:rsidR="006B77A6">
        <w:rPr>
          <w:b/>
        </w:rPr>
        <w:t>, methodological expertise</w:t>
      </w:r>
      <w:r w:rsidRPr="0091074E">
        <w:rPr>
          <w:b/>
        </w:rPr>
        <w:t>)</w:t>
      </w:r>
    </w:p>
    <w:tbl>
      <w:tblPr>
        <w:tblStyle w:val="TableGrid"/>
        <w:tblW w:w="0" w:type="auto"/>
        <w:tblLook w:val="04A0" w:firstRow="1" w:lastRow="0" w:firstColumn="1" w:lastColumn="0" w:noHBand="0" w:noVBand="1"/>
      </w:tblPr>
      <w:tblGrid>
        <w:gridCol w:w="9016"/>
      </w:tblGrid>
      <w:tr w:rsidR="0091074E" w14:paraId="045DBF51" w14:textId="77777777" w:rsidTr="0091074E">
        <w:tc>
          <w:tcPr>
            <w:tcW w:w="9242" w:type="dxa"/>
          </w:tcPr>
          <w:p w14:paraId="48C9E4DD" w14:textId="6014EFBB" w:rsidR="00475842" w:rsidRPr="00462884" w:rsidRDefault="00462884" w:rsidP="00333F6E">
            <w:pPr>
              <w:spacing w:line="312" w:lineRule="auto"/>
              <w:contextualSpacing/>
            </w:pPr>
            <w:r w:rsidRPr="00462884">
              <w:t xml:space="preserve">Midwifery/maternity expertise would be desirable but not essential. </w:t>
            </w:r>
          </w:p>
        </w:tc>
      </w:tr>
    </w:tbl>
    <w:p w14:paraId="1B812F6A" w14:textId="77777777" w:rsidR="0091074E" w:rsidRDefault="0091074E" w:rsidP="00333F6E">
      <w:pPr>
        <w:spacing w:after="0" w:line="312" w:lineRule="auto"/>
        <w:contextualSpacing/>
        <w:rPr>
          <w:b/>
        </w:rPr>
      </w:pPr>
    </w:p>
    <w:p w14:paraId="4604B6B2" w14:textId="2C65B52E" w:rsidR="0091074E" w:rsidRDefault="0091074E" w:rsidP="00333F6E">
      <w:pPr>
        <w:spacing w:after="0" w:line="312" w:lineRule="auto"/>
        <w:contextualSpacing/>
        <w:rPr>
          <w:b/>
        </w:rPr>
      </w:pPr>
      <w:r w:rsidRPr="0091074E">
        <w:rPr>
          <w:b/>
        </w:rPr>
        <w:t>Estima</w:t>
      </w:r>
      <w:r w:rsidR="00475842">
        <w:rPr>
          <w:b/>
        </w:rPr>
        <w:t>ted start and completion dates</w:t>
      </w:r>
      <w:r w:rsidR="00314CD6">
        <w:rPr>
          <w:b/>
        </w:rPr>
        <w:t>*</w:t>
      </w:r>
      <w:r w:rsidR="00475842">
        <w:rPr>
          <w:b/>
        </w:rPr>
        <w:t xml:space="preserve"> </w:t>
      </w:r>
      <w:r w:rsidR="006B77A6" w:rsidRPr="0091074E">
        <w:rPr>
          <w:i/>
          <w:sz w:val="18"/>
          <w:szCs w:val="18"/>
        </w:rPr>
        <w:t xml:space="preserve">– please </w:t>
      </w:r>
      <w:r w:rsidR="006B77A6">
        <w:rPr>
          <w:i/>
          <w:sz w:val="18"/>
          <w:szCs w:val="18"/>
        </w:rPr>
        <w:t>provide an estimated time for start and completion of the review</w:t>
      </w:r>
      <w:r w:rsidR="006B77A6" w:rsidRPr="0091074E">
        <w:rPr>
          <w:i/>
          <w:sz w:val="18"/>
          <w:szCs w:val="18"/>
        </w:rPr>
        <w:t xml:space="preserve"> </w:t>
      </w:r>
    </w:p>
    <w:tbl>
      <w:tblPr>
        <w:tblStyle w:val="TableGrid"/>
        <w:tblW w:w="0" w:type="auto"/>
        <w:tblLook w:val="04A0" w:firstRow="1" w:lastRow="0" w:firstColumn="1" w:lastColumn="0" w:noHBand="0" w:noVBand="1"/>
      </w:tblPr>
      <w:tblGrid>
        <w:gridCol w:w="9016"/>
      </w:tblGrid>
      <w:tr w:rsidR="00475842" w14:paraId="1498F8BA" w14:textId="77777777" w:rsidTr="00475842">
        <w:tc>
          <w:tcPr>
            <w:tcW w:w="9242" w:type="dxa"/>
          </w:tcPr>
          <w:p w14:paraId="3DE1A58D" w14:textId="4CD86631" w:rsidR="00475842" w:rsidRPr="00113EC6" w:rsidRDefault="00113EC6" w:rsidP="00333F6E">
            <w:pPr>
              <w:spacing w:line="312" w:lineRule="auto"/>
              <w:contextualSpacing/>
            </w:pPr>
            <w:r w:rsidRPr="00113EC6">
              <w:t>1-Dec-2019 to 30-Nov 2020</w:t>
            </w:r>
          </w:p>
        </w:tc>
      </w:tr>
    </w:tbl>
    <w:p w14:paraId="68D54C05" w14:textId="77777777" w:rsidR="00314CD6" w:rsidRDefault="00314CD6" w:rsidP="00333F6E">
      <w:pPr>
        <w:spacing w:after="0" w:line="312" w:lineRule="auto"/>
        <w:contextualSpacing/>
        <w:rPr>
          <w:i/>
          <w:sz w:val="18"/>
          <w:szCs w:val="18"/>
        </w:rPr>
      </w:pPr>
    </w:p>
    <w:p w14:paraId="576265B5" w14:textId="612F2618" w:rsidR="00314CD6" w:rsidRPr="00314CD6" w:rsidRDefault="00314CD6" w:rsidP="00333F6E">
      <w:pPr>
        <w:spacing w:after="0" w:line="312" w:lineRule="auto"/>
        <w:contextualSpacing/>
        <w:rPr>
          <w:b/>
        </w:rPr>
      </w:pPr>
      <w:r w:rsidRPr="00314CD6">
        <w:rPr>
          <w:sz w:val="18"/>
          <w:szCs w:val="18"/>
        </w:rPr>
        <w:t>*Please note that reviews must not have completed screening stages to be eligible</w:t>
      </w:r>
    </w:p>
    <w:sectPr w:rsidR="00314CD6" w:rsidRPr="00314CD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1459"/>
    <w:multiLevelType w:val="multilevel"/>
    <w:tmpl w:val="9E6A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404F8"/>
    <w:multiLevelType w:val="multilevel"/>
    <w:tmpl w:val="820EB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86B96"/>
    <w:multiLevelType w:val="multilevel"/>
    <w:tmpl w:val="2DCE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53E92"/>
    <w:multiLevelType w:val="multilevel"/>
    <w:tmpl w:val="52B09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390C0B"/>
    <w:multiLevelType w:val="multilevel"/>
    <w:tmpl w:val="5CC0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246A9A"/>
    <w:multiLevelType w:val="multilevel"/>
    <w:tmpl w:val="A81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A2959"/>
    <w:multiLevelType w:val="multilevel"/>
    <w:tmpl w:val="02A6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113EC6"/>
    <w:rsid w:val="0012614D"/>
    <w:rsid w:val="00314CD6"/>
    <w:rsid w:val="00333F6E"/>
    <w:rsid w:val="00366F2A"/>
    <w:rsid w:val="00462884"/>
    <w:rsid w:val="00475842"/>
    <w:rsid w:val="006B77A6"/>
    <w:rsid w:val="00776B23"/>
    <w:rsid w:val="00862FB2"/>
    <w:rsid w:val="008E246C"/>
    <w:rsid w:val="0091074E"/>
    <w:rsid w:val="00A8013C"/>
    <w:rsid w:val="00BF34EB"/>
    <w:rsid w:val="00EF79B6"/>
    <w:rsid w:val="00F3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2B9"/>
  <w15:docId w15:val="{491239E4-C689-4209-AAAB-49F9C88C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8013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8013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801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13C"/>
    <w:rPr>
      <w:color w:val="0000FF" w:themeColor="hyperlink"/>
      <w:u w:val="single"/>
    </w:rPr>
  </w:style>
  <w:style w:type="character" w:customStyle="1" w:styleId="current-selection">
    <w:name w:val="current-selection"/>
    <w:basedOn w:val="DefaultParagraphFont"/>
    <w:rsid w:val="00A8013C"/>
  </w:style>
  <w:style w:type="character" w:customStyle="1" w:styleId="apple-converted-space">
    <w:name w:val="apple-converted-space"/>
    <w:basedOn w:val="DefaultParagraphFont"/>
    <w:rsid w:val="00A8013C"/>
  </w:style>
  <w:style w:type="character" w:customStyle="1" w:styleId="Heading4Char">
    <w:name w:val="Heading 4 Char"/>
    <w:basedOn w:val="DefaultParagraphFont"/>
    <w:link w:val="Heading4"/>
    <w:uiPriority w:val="9"/>
    <w:rsid w:val="00A801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801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8013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8013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462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7761">
      <w:bodyDiv w:val="1"/>
      <w:marLeft w:val="0"/>
      <w:marRight w:val="0"/>
      <w:marTop w:val="0"/>
      <w:marBottom w:val="0"/>
      <w:divBdr>
        <w:top w:val="none" w:sz="0" w:space="0" w:color="auto"/>
        <w:left w:val="none" w:sz="0" w:space="0" w:color="auto"/>
        <w:bottom w:val="none" w:sz="0" w:space="0" w:color="auto"/>
        <w:right w:val="none" w:sz="0" w:space="0" w:color="auto"/>
      </w:divBdr>
    </w:div>
    <w:div w:id="6504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ranelibrary.com/cdsr/doi/10.1002/14651858.CD013276/refer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chranelibrary.com/cdsr/doi/10.1002/14651858.CD013276/references" TargetMode="External"/><Relationship Id="rId12" Type="http://schemas.openxmlformats.org/officeDocument/2006/relationships/hyperlink" Target="https://www.cochranelibrary.com/cdsr/doi/10.1002/14651858.CD013276/full"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cochranelibrary.com/cdsr/doi/10.1002/14651858.CD013276/references" TargetMode="External"/><Relationship Id="rId11" Type="http://schemas.openxmlformats.org/officeDocument/2006/relationships/hyperlink" Target="https://www.cochranelibrary.com/cdsr/doi/10.1002/14651858.CD013276/references" TargetMode="External"/><Relationship Id="rId5" Type="http://schemas.openxmlformats.org/officeDocument/2006/relationships/image" Target="media/image1.png"/><Relationship Id="rId10" Type="http://schemas.openxmlformats.org/officeDocument/2006/relationships/hyperlink" Target="https://www.cochranelibrary.com/cdsr/doi/10.1002/14651858.CD013276/references" TargetMode="External"/><Relationship Id="rId4" Type="http://schemas.openxmlformats.org/officeDocument/2006/relationships/webSettings" Target="webSettings.xml"/><Relationship Id="rId9" Type="http://schemas.openxmlformats.org/officeDocument/2006/relationships/hyperlink" Target="https://www.cochranelibrary.com/cdsr/doi/10.1002/14651858.CD013276/refer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3</cp:revision>
  <dcterms:created xsi:type="dcterms:W3CDTF">2019-08-28T14:44:00Z</dcterms:created>
  <dcterms:modified xsi:type="dcterms:W3CDTF">2019-08-29T14:11:00Z</dcterms:modified>
</cp:coreProperties>
</file>